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B54F46">
        <w:rPr>
          <w:rFonts w:ascii="Arial" w:hAnsi="Arial" w:cs="Arial"/>
          <w:sz w:val="22"/>
          <w:szCs w:val="22"/>
        </w:rPr>
        <w:t>30</w:t>
      </w:r>
      <w:r w:rsidR="001871AA">
        <w:rPr>
          <w:rFonts w:ascii="Arial" w:hAnsi="Arial" w:cs="Arial"/>
          <w:sz w:val="22"/>
          <w:szCs w:val="22"/>
        </w:rPr>
        <w:t xml:space="preserve"> de </w:t>
      </w:r>
      <w:r w:rsidR="00B54F46">
        <w:rPr>
          <w:rFonts w:ascii="Arial" w:hAnsi="Arial" w:cs="Arial"/>
          <w:sz w:val="22"/>
          <w:szCs w:val="22"/>
        </w:rPr>
        <w:t>septiembre</w:t>
      </w:r>
      <w:r w:rsidR="00515C9E" w:rsidRPr="002840D7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fisca</w:t>
      </w:r>
      <w:r>
        <w:rPr>
          <w:rFonts w:ascii="Arial" w:hAnsi="Arial" w:cs="Arial"/>
          <w:sz w:val="22"/>
          <w:szCs w:val="22"/>
        </w:rPr>
        <w:t>l</w:t>
      </w:r>
      <w:r w:rsidRPr="00B54F46">
        <w:rPr>
          <w:rFonts w:ascii="Arial" w:hAnsi="Arial" w:cs="Arial"/>
          <w:sz w:val="22"/>
          <w:szCs w:val="22"/>
        </w:rPr>
        <w:t xml:space="preserve"> 2015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correpondientes al año 2014,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 xml:space="preserve">denominado, </w:t>
      </w:r>
      <w:r w:rsidRPr="00B54F46">
        <w:rPr>
          <w:rFonts w:ascii="Arial" w:hAnsi="Arial" w:cs="Arial"/>
          <w:sz w:val="22"/>
          <w:szCs w:val="22"/>
        </w:rPr>
        <w:t>Gonzalez Lazarini, S.A.de C.V.</w:t>
      </w:r>
      <w:r>
        <w:rPr>
          <w:rFonts w:ascii="Arial" w:hAnsi="Arial" w:cs="Arial"/>
          <w:sz w:val="22"/>
          <w:szCs w:val="22"/>
        </w:rPr>
        <w:t xml:space="preserve"> 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Adimisntración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="00816C73"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816C73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E61E39">
      <w:rPr>
        <w:rFonts w:ascii="Arial" w:hAnsi="Arial" w:cs="Arial"/>
        <w:b/>
        <w:bCs/>
        <w:noProof/>
        <w:sz w:val="12"/>
        <w:szCs w:val="12"/>
      </w:rPr>
      <w:t>1</w:t>
    </w:r>
    <w:r w:rsidR="00816C73"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E61E39" w:rsidRPr="00E61E39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16C73"/>
    <w:rsid w:val="00830394"/>
    <w:rsid w:val="0083173F"/>
    <w:rsid w:val="00842AD4"/>
    <w:rsid w:val="008466EB"/>
    <w:rsid w:val="00851F5E"/>
    <w:rsid w:val="00853272"/>
    <w:rsid w:val="0085344F"/>
    <w:rsid w:val="00853B7F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61E39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2</cp:revision>
  <cp:lastPrinted>2017-12-05T20:59:00Z</cp:lastPrinted>
  <dcterms:created xsi:type="dcterms:W3CDTF">2018-05-11T19:29:00Z</dcterms:created>
  <dcterms:modified xsi:type="dcterms:W3CDTF">2018-05-11T19:29:00Z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