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A" w:rsidRPr="006239BF" w:rsidRDefault="006F6127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Condominio </w:t>
      </w:r>
      <w:r w:rsidR="00523F85">
        <w:rPr>
          <w:rFonts w:ascii="Arial" w:hAnsi="Arial" w:cs="Arial"/>
          <w:b/>
          <w:bCs/>
          <w:sz w:val="32"/>
          <w:szCs w:val="32"/>
        </w:rPr>
        <w:t>Popular</w:t>
      </w:r>
    </w:p>
    <w:p w:rsidR="00523F85" w:rsidRDefault="00523F85" w:rsidP="00915A2A">
      <w:pPr>
        <w:pStyle w:val="Default"/>
        <w:jc w:val="center"/>
        <w:rPr>
          <w:rFonts w:ascii="Arial" w:hAnsi="Arial" w:cs="Arial"/>
          <w:b/>
          <w:bCs/>
        </w:rPr>
      </w:pPr>
    </w:p>
    <w:p w:rsidR="00915A2A" w:rsidRDefault="00DE2775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 xml:space="preserve">Constitución del </w:t>
      </w:r>
      <w:r w:rsidR="006F6127" w:rsidRPr="00DE2775">
        <w:rPr>
          <w:rFonts w:ascii="Arial" w:hAnsi="Arial" w:cs="Arial"/>
          <w:b/>
          <w:bCs/>
        </w:rPr>
        <w:t>Régimen de Propiedad en Condominio</w:t>
      </w:r>
    </w:p>
    <w:p w:rsidR="00DE2775" w:rsidRPr="00DE2775" w:rsidRDefault="00DE2775" w:rsidP="00915A2A">
      <w:pPr>
        <w:pStyle w:val="Default"/>
        <w:jc w:val="center"/>
        <w:rPr>
          <w:rFonts w:ascii="Arial" w:hAnsi="Arial" w:cs="Arial"/>
        </w:rPr>
      </w:pPr>
    </w:p>
    <w:p w:rsidR="00915A2A" w:rsidRPr="00DE2775" w:rsidRDefault="006F6127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>Requisitos</w:t>
      </w:r>
    </w:p>
    <w:p w:rsidR="00812401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¿Qué es lo que necesitas para ser Beneficiario de Condominio Popular?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Antes de realizar cualquier trámite, asiste al Módulo de atención de Condominio Popular a donde te brindaremos asesoría completa para que puedas iniciar el proceso de escrituración.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523F85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Requisitos del inmueble:</w:t>
      </w:r>
    </w:p>
    <w:p w:rsidR="00B7200C" w:rsidRPr="00B7200C" w:rsidRDefault="00B7200C" w:rsidP="00523F85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los inmuebles no se ubiquen en zona de protección ecológica o de alto riesgo.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las viviendas cuenten por lo menos, con baño y un dormitorio.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cuenten con iluminación y ventilación natural en espacios habitables.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cuenten con conexión de drenaje a la red pública o en su defecto tengan fosa séptica.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los baños sin ventilación natural, tengan un dispositivo de ventilación no menor a 4” de diámetro o estén ventilados por medios mecánicos.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 xml:space="preserve">El uso de suelo distinto al habitacional (locales comerciales, oficinas, </w:t>
      </w:r>
      <w:proofErr w:type="spellStart"/>
      <w:r w:rsidRPr="00B7200C">
        <w:rPr>
          <w:rFonts w:ascii="Arial" w:hAnsi="Arial" w:cs="Arial"/>
          <w:sz w:val="22"/>
          <w:szCs w:val="22"/>
        </w:rPr>
        <w:t>etc</w:t>
      </w:r>
      <w:proofErr w:type="spellEnd"/>
      <w:r w:rsidRPr="00B7200C">
        <w:rPr>
          <w:rFonts w:ascii="Arial" w:hAnsi="Arial" w:cs="Arial"/>
          <w:sz w:val="22"/>
          <w:szCs w:val="22"/>
        </w:rPr>
        <w:t>) no deberá rebasar el 50% del total del inmueble en planta baja.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Los metros cuadrados de superficie indicados en la escritura, deben coincidir con la medida física del predio.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 exista total acuerdo entre los copropietarios y/o beneficiarios y titular de la propiedad para su ingreso.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Las Construcciones a regularizar deben estar totalmente terminadas y construidas, no a futuro ni a proyecto posterior.</w:t>
      </w:r>
    </w:p>
    <w:p w:rsidR="00B7200C" w:rsidRPr="00B7200C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Para la Constitución del Régimen de Condominio Popular se debe tener un área común entre viviendas</w:t>
      </w:r>
    </w:p>
    <w:p w:rsidR="00DE2775" w:rsidRDefault="00B7200C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7200C">
        <w:rPr>
          <w:rFonts w:ascii="Arial" w:hAnsi="Arial" w:cs="Arial"/>
          <w:sz w:val="22"/>
          <w:szCs w:val="22"/>
        </w:rPr>
        <w:t>Quedan excluidos del presente acuerdo aquellos casos en que no se acredite que el 50% de los propietarios del total de viviendas a individualizar carezcan de parentesco civil o consanguíneo entre ellos hasta el tercer grado conforme a la legislación civil en la Ciudad de México.</w:t>
      </w:r>
    </w:p>
    <w:p w:rsidR="00063117" w:rsidRDefault="00063117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3117">
        <w:rPr>
          <w:rFonts w:ascii="Arial" w:hAnsi="Arial" w:cs="Arial"/>
          <w:sz w:val="22"/>
          <w:szCs w:val="22"/>
        </w:rPr>
        <w:t>Dictamen de habitabilidad, avalado por arquitecto o ingeniero inscrito ante el Instituto.</w:t>
      </w:r>
    </w:p>
    <w:p w:rsidR="00063117" w:rsidRDefault="00063117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3117">
        <w:rPr>
          <w:rFonts w:ascii="Arial" w:hAnsi="Arial" w:cs="Arial"/>
          <w:sz w:val="22"/>
          <w:szCs w:val="22"/>
        </w:rPr>
        <w:t xml:space="preserve">Dictamen de seguridad estructural, suscrito por DRO, con carnet vigente emitido por SEDUVI e inscrito en el Instituto, las unidades de propiedad exclusiva, destinadas a uso habitacional contaran con por lo menos baño y un dormitorio, iluminación natural en espacios habitables, conexión a la red pública, si existe uso distinto al uso habitacional, no deberá el 50% de la superficie total de la construcción existente en la planta baja </w:t>
      </w:r>
    </w:p>
    <w:p w:rsidR="00063117" w:rsidRPr="006239BF" w:rsidRDefault="00063117" w:rsidP="00523F85">
      <w:pPr>
        <w:pStyle w:val="Default"/>
        <w:numPr>
          <w:ilvl w:val="0"/>
          <w:numId w:val="8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3117">
        <w:rPr>
          <w:rFonts w:ascii="Arial" w:hAnsi="Arial" w:cs="Arial"/>
          <w:sz w:val="22"/>
          <w:szCs w:val="22"/>
        </w:rPr>
        <w:t>y el último muy importante acreditar que el inmueble fue construido por instituciones públicas, o su adquisición o construcción fue financiada en todo o en parte con créditos otorgado con Instituciones públicas.</w:t>
      </w:r>
    </w:p>
    <w:sectPr w:rsidR="00063117" w:rsidRPr="006239BF" w:rsidSect="00EB3FCC">
      <w:headerReference w:type="default" r:id="rId10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4D" w:rsidRDefault="00FD154D" w:rsidP="00006462">
      <w:r>
        <w:separator/>
      </w:r>
    </w:p>
  </w:endnote>
  <w:endnote w:type="continuationSeparator" w:id="0">
    <w:p w:rsidR="00FD154D" w:rsidRDefault="00FD154D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4D" w:rsidRDefault="00FD154D" w:rsidP="00006462">
      <w:r>
        <w:separator/>
      </w:r>
    </w:p>
  </w:footnote>
  <w:footnote w:type="continuationSeparator" w:id="0">
    <w:p w:rsidR="00FD154D" w:rsidRDefault="00FD154D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155"/>
    <w:multiLevelType w:val="hybridMultilevel"/>
    <w:tmpl w:val="758E5818"/>
    <w:lvl w:ilvl="0" w:tplc="50042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C0649"/>
    <w:multiLevelType w:val="hybridMultilevel"/>
    <w:tmpl w:val="7846B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ADE5F47"/>
    <w:multiLevelType w:val="hybridMultilevel"/>
    <w:tmpl w:val="C152E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3117"/>
    <w:rsid w:val="000658C3"/>
    <w:rsid w:val="0007127A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537E1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3F85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6F6127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6620D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200C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466B3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4378"/>
    <w:rsid w:val="00DB53BC"/>
    <w:rsid w:val="00DC0C56"/>
    <w:rsid w:val="00DD0223"/>
    <w:rsid w:val="00DE2775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4</cp:revision>
  <cp:lastPrinted>2016-02-10T19:32:00Z</cp:lastPrinted>
  <dcterms:created xsi:type="dcterms:W3CDTF">2017-11-15T18:07:00Z</dcterms:created>
  <dcterms:modified xsi:type="dcterms:W3CDTF">2017-11-15T20:50:00Z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